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70" w:rsidRDefault="00CE3C70" w:rsidP="00CE3C70">
      <w:pPr>
        <w:tabs>
          <w:tab w:val="left" w:pos="4500"/>
        </w:tabs>
        <w:jc w:val="both"/>
      </w:pPr>
      <w:bookmarkStart w:id="0" w:name="_GoBack"/>
      <w:bookmarkEnd w:id="0"/>
      <w:r>
        <w:rPr>
          <w:b/>
          <w:bCs/>
        </w:rPr>
        <w:t xml:space="preserve">LEARNING OUTCOMES – </w:t>
      </w:r>
      <w:r>
        <w:t>define the expected educational results that each student should obtain upon the completion of a course and/or a major or program.  Outcomes describe what students to need to know (cognitive), think (affective, attitudinal), or do (behavioral, performance, psychomotor) when they have completed a course or given educational program. Learning outcomes in courses within a degree program need to connect to the program level learning outcomes.</w:t>
      </w:r>
    </w:p>
    <w:p w:rsidR="00CE3C70" w:rsidRDefault="00CE3C70" w:rsidP="00CE3C70">
      <w:pPr>
        <w:tabs>
          <w:tab w:val="left" w:pos="4500"/>
        </w:tabs>
        <w:ind w:left="720"/>
        <w:jc w:val="both"/>
      </w:pPr>
    </w:p>
    <w:p w:rsidR="00F354A6" w:rsidRDefault="00F354A6" w:rsidP="00D337E1">
      <w:pPr>
        <w:pStyle w:val="ListParagraph"/>
        <w:numPr>
          <w:ilvl w:val="0"/>
          <w:numId w:val="5"/>
        </w:numPr>
        <w:tabs>
          <w:tab w:val="left" w:pos="4500"/>
        </w:tabs>
        <w:jc w:val="both"/>
      </w:pPr>
      <w:r>
        <w:t xml:space="preserve">Every learning outcome has its own assessment cycle: </w:t>
      </w:r>
    </w:p>
    <w:p w:rsidR="00CE3C70" w:rsidRDefault="00F46042" w:rsidP="00F46042">
      <w:pPr>
        <w:tabs>
          <w:tab w:val="left" w:pos="4500"/>
        </w:tabs>
        <w:jc w:val="both"/>
      </w:pPr>
      <w:r>
        <w:t>Outcome →assessment →</w:t>
      </w:r>
      <w:r w:rsidR="00F354A6">
        <w:t>data collec</w:t>
      </w:r>
      <w:r>
        <w:t>tion →informed decision making →program changes</w:t>
      </w:r>
    </w:p>
    <w:p w:rsidR="00D337E1" w:rsidRDefault="00D337E1" w:rsidP="002B0846">
      <w:pPr>
        <w:tabs>
          <w:tab w:val="left" w:pos="4500"/>
        </w:tabs>
        <w:jc w:val="both"/>
      </w:pPr>
    </w:p>
    <w:p w:rsidR="00D337E1" w:rsidRDefault="00D337E1" w:rsidP="00D337E1">
      <w:pPr>
        <w:pStyle w:val="ListParagraph"/>
        <w:numPr>
          <w:ilvl w:val="0"/>
          <w:numId w:val="5"/>
        </w:numPr>
        <w:tabs>
          <w:tab w:val="left" w:pos="4500"/>
        </w:tabs>
        <w:jc w:val="both"/>
      </w:pPr>
      <w:r>
        <w:t>Student learning</w:t>
      </w:r>
      <w:r w:rsidR="002B0846">
        <w:t xml:space="preserve"> outcomes need to have a result that can be measured thr</w:t>
      </w:r>
      <w:r w:rsidR="0032043A">
        <w:t>ough student coursework</w:t>
      </w:r>
      <w:r w:rsidR="00F46042">
        <w:t xml:space="preserve"> and direct assessment</w:t>
      </w:r>
      <w:r w:rsidR="0032043A">
        <w:t>, such as exams, essays, papers and projects.</w:t>
      </w:r>
    </w:p>
    <w:p w:rsidR="008C1D7E" w:rsidRDefault="008C1D7E" w:rsidP="008C1D7E">
      <w:pPr>
        <w:tabs>
          <w:tab w:val="left" w:pos="4500"/>
        </w:tabs>
        <w:jc w:val="both"/>
      </w:pPr>
    </w:p>
    <w:p w:rsidR="008C1D7E" w:rsidRDefault="008C1D7E" w:rsidP="008C1D7E">
      <w:pPr>
        <w:pStyle w:val="ListParagraph"/>
        <w:numPr>
          <w:ilvl w:val="0"/>
          <w:numId w:val="5"/>
        </w:numPr>
        <w:tabs>
          <w:tab w:val="left" w:pos="4500"/>
        </w:tabs>
        <w:jc w:val="both"/>
      </w:pPr>
      <w:r>
        <w:t>Program level</w:t>
      </w:r>
      <w:r w:rsidR="009F1164">
        <w:t xml:space="preserve"> student learning</w:t>
      </w:r>
      <w:r>
        <w:t xml:space="preserve"> outcomes need to be broad enough to </w:t>
      </w:r>
      <w:r w:rsidR="0032043A">
        <w:t>address the skills, knowledge and values a</w:t>
      </w:r>
      <w:r w:rsidR="00D27DDE">
        <w:t>ll</w:t>
      </w:r>
      <w:r w:rsidR="0032043A">
        <w:t xml:space="preserve"> student</w:t>
      </w:r>
      <w:r w:rsidR="00D27DDE">
        <w:t>s in the program</w:t>
      </w:r>
      <w:r w:rsidR="0032043A">
        <w:t xml:space="preserve"> should have, but specific enough to allow </w:t>
      </w:r>
      <w:r w:rsidR="00705B76">
        <w:t xml:space="preserve">meaningful </w:t>
      </w:r>
      <w:r w:rsidR="0032043A">
        <w:t>assessment to take place.</w:t>
      </w:r>
    </w:p>
    <w:p w:rsidR="00D337E1" w:rsidRDefault="00D337E1" w:rsidP="00D337E1">
      <w:pPr>
        <w:tabs>
          <w:tab w:val="left" w:pos="4500"/>
        </w:tabs>
        <w:jc w:val="both"/>
      </w:pPr>
    </w:p>
    <w:p w:rsidR="00CE3C70" w:rsidRDefault="00CE3C70" w:rsidP="00CE3C70">
      <w:pPr>
        <w:tabs>
          <w:tab w:val="left" w:pos="4500"/>
        </w:tabs>
        <w:ind w:left="720"/>
        <w:jc w:val="both"/>
      </w:pPr>
    </w:p>
    <w:p w:rsidR="00CE3C70" w:rsidRPr="008C1D7E" w:rsidRDefault="008C1D7E" w:rsidP="00CE3C70">
      <w:pPr>
        <w:pStyle w:val="NoSpacing"/>
      </w:pPr>
      <w:r>
        <w:rPr>
          <w:b/>
        </w:rPr>
        <w:t>OUTCOME TYPES: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rPr>
          <w:b/>
        </w:rPr>
        <w:t xml:space="preserve">Cognitive: </w:t>
      </w:r>
      <w:r>
        <w:t>describe</w:t>
      </w:r>
      <w:r w:rsidR="006A63E0">
        <w:t>s</w:t>
      </w:r>
      <w:r>
        <w:t xml:space="preserve"> what a student should know.  Some examples:</w:t>
      </w:r>
    </w:p>
    <w:p w:rsidR="00CE3C70" w:rsidRDefault="00CE3C70" w:rsidP="00CE3C70">
      <w:pPr>
        <w:tabs>
          <w:tab w:val="left" w:pos="4500"/>
        </w:tabs>
        <w:ind w:left="720"/>
        <w:jc w:val="both"/>
      </w:pP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“….be able to recall core content of [list content].”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“….be able to define broad history of the field of [list content].”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“….be able to recite [content; e.g., poetry, statistical formulas].”</w:t>
      </w:r>
    </w:p>
    <w:p w:rsidR="00CE3C70" w:rsidRDefault="00CE3C70" w:rsidP="00333EC6">
      <w:pPr>
        <w:tabs>
          <w:tab w:val="left" w:pos="4500"/>
        </w:tabs>
        <w:jc w:val="both"/>
      </w:pPr>
      <w:r>
        <w:t xml:space="preserve">      </w:t>
      </w:r>
    </w:p>
    <w:p w:rsidR="00CE3C70" w:rsidRDefault="00CE3C70" w:rsidP="00CE3C70">
      <w:pPr>
        <w:tabs>
          <w:tab w:val="left" w:pos="4500"/>
        </w:tabs>
        <w:ind w:left="1170"/>
        <w:jc w:val="both"/>
      </w:pPr>
      <w:r>
        <w:t xml:space="preserve">It is helpful to consider Bloom’s Taxonomy for the </w:t>
      </w:r>
      <w:r>
        <w:rPr>
          <w:b/>
          <w:bCs/>
        </w:rPr>
        <w:t>levels or degrees of knowledge</w:t>
      </w:r>
      <w:r>
        <w:t>: (refer to the Blooms taxonomy action verbs document on the APAA assessment resources website)</w:t>
      </w:r>
    </w:p>
    <w:p w:rsidR="00CE3C70" w:rsidRDefault="00CE3C70" w:rsidP="00CE3C70">
      <w:pPr>
        <w:tabs>
          <w:tab w:val="left" w:pos="4500"/>
        </w:tabs>
        <w:ind w:left="720"/>
        <w:jc w:val="both"/>
      </w:pP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Knowledge – recall, recognition of terms, ideas, theories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Comprehension – translate, interpret, </w:t>
      </w:r>
      <w:proofErr w:type="gramStart"/>
      <w:r>
        <w:t>extrapolate</w:t>
      </w:r>
      <w:proofErr w:type="gramEnd"/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Application – apply abstractions, general principles to specific concrete situations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Analysis – separations of complex ideas into its parts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Synthesis – construction of concepts to form complex ideas</w:t>
      </w:r>
    </w:p>
    <w:p w:rsidR="00CE3C70" w:rsidRDefault="00CE3C70" w:rsidP="00CE3C70">
      <w:pPr>
        <w:tabs>
          <w:tab w:val="left" w:pos="4500"/>
        </w:tabs>
        <w:ind w:left="720"/>
        <w:jc w:val="both"/>
      </w:pPr>
      <w:r>
        <w:t xml:space="preserve">            Evaluation – judgment using external evidence or other criteria</w:t>
      </w:r>
    </w:p>
    <w:p w:rsidR="00CE3C70" w:rsidRDefault="00CE3C70" w:rsidP="00CE3C70">
      <w:pPr>
        <w:tabs>
          <w:tab w:val="left" w:pos="4500"/>
        </w:tabs>
        <w:ind w:left="720"/>
        <w:jc w:val="both"/>
      </w:pPr>
    </w:p>
    <w:p w:rsidR="00CE3C70" w:rsidRDefault="00CE3C70" w:rsidP="00CE3C70">
      <w:pPr>
        <w:tabs>
          <w:tab w:val="left" w:pos="4500"/>
        </w:tabs>
        <w:ind w:left="720"/>
        <w:jc w:val="both"/>
      </w:pPr>
      <w:r>
        <w:rPr>
          <w:b/>
        </w:rPr>
        <w:t xml:space="preserve">Affective: </w:t>
      </w:r>
      <w:r>
        <w:t>describe</w:t>
      </w:r>
      <w:r w:rsidR="006A63E0">
        <w:t>s</w:t>
      </w:r>
      <w:r>
        <w:t xml:space="preserve"> what a student should think or an attitude the student should have. Some examples:</w:t>
      </w:r>
    </w:p>
    <w:p w:rsidR="00CE3C70" w:rsidRDefault="00CE3C70" w:rsidP="00CE3C70">
      <w:pPr>
        <w:ind w:left="360" w:firstLine="720"/>
        <w:jc w:val="both"/>
      </w:pPr>
    </w:p>
    <w:p w:rsidR="00CE3C70" w:rsidRDefault="00CE3C70" w:rsidP="00CE3C70">
      <w:pPr>
        <w:ind w:left="720" w:firstLine="720"/>
        <w:jc w:val="both"/>
      </w:pPr>
      <w:r>
        <w:t xml:space="preserve">“….be able to describe the values of [content; e.g. of other cultures, personal </w:t>
      </w:r>
    </w:p>
    <w:p w:rsidR="00CE3C70" w:rsidRDefault="00CE3C70" w:rsidP="00CE3C70">
      <w:pPr>
        <w:ind w:left="720" w:firstLine="720"/>
        <w:jc w:val="both"/>
      </w:pPr>
      <w:r>
        <w:t xml:space="preserve">      </w:t>
      </w:r>
      <w:proofErr w:type="gramStart"/>
      <w:r>
        <w:t>values</w:t>
      </w:r>
      <w:proofErr w:type="gramEnd"/>
      <w:r>
        <w:t>].”</w:t>
      </w:r>
    </w:p>
    <w:p w:rsidR="00CE3C70" w:rsidRDefault="00CE3C70" w:rsidP="00CE3C70">
      <w:pPr>
        <w:ind w:left="720" w:firstLine="720"/>
        <w:jc w:val="both"/>
      </w:pPr>
      <w:r>
        <w:t>“….be able to compare cultural differences between [culture X and culture Y].”</w:t>
      </w:r>
    </w:p>
    <w:p w:rsidR="00CE3C70" w:rsidRDefault="00CE3C70" w:rsidP="00CE3C70">
      <w:pPr>
        <w:ind w:left="1440"/>
        <w:jc w:val="both"/>
      </w:pPr>
      <w:r>
        <w:t xml:space="preserve">“….be able to discuss differences in social interactions they saw in a study aboard </w:t>
      </w:r>
    </w:p>
    <w:p w:rsidR="00CE3C70" w:rsidRDefault="00CE3C70" w:rsidP="00CE3C70">
      <w:pPr>
        <w:ind w:left="1440"/>
        <w:jc w:val="both"/>
      </w:pPr>
      <w:r>
        <w:t xml:space="preserve">      </w:t>
      </w:r>
      <w:proofErr w:type="gramStart"/>
      <w:r>
        <w:t>experience</w:t>
      </w:r>
      <w:proofErr w:type="gramEnd"/>
      <w:r>
        <w:t>.”</w:t>
      </w:r>
    </w:p>
    <w:p w:rsidR="00CE3C70" w:rsidRDefault="00CE3C70" w:rsidP="00CE3C70">
      <w:pPr>
        <w:ind w:left="720" w:firstLine="720"/>
        <w:jc w:val="both"/>
      </w:pPr>
      <w:r>
        <w:t>“….be able to critically evaluate the value system of [culture X].”</w:t>
      </w:r>
    </w:p>
    <w:p w:rsidR="00CE3C70" w:rsidRDefault="00CE3C70" w:rsidP="00CE3C70">
      <w:pPr>
        <w:jc w:val="both"/>
      </w:pPr>
    </w:p>
    <w:p w:rsidR="00CE3C70" w:rsidRDefault="00CE3C70" w:rsidP="00CE3C70">
      <w:pPr>
        <w:jc w:val="both"/>
      </w:pPr>
    </w:p>
    <w:p w:rsidR="00CE3C70" w:rsidRDefault="00CE3C70" w:rsidP="00CE3C70">
      <w:pPr>
        <w:ind w:left="720"/>
        <w:jc w:val="both"/>
      </w:pPr>
      <w:r>
        <w:t xml:space="preserve">      It is helpful to consider Bloom’s Taxonomy for </w:t>
      </w:r>
      <w:r>
        <w:rPr>
          <w:b/>
          <w:bCs/>
        </w:rPr>
        <w:t>affective outcomes</w:t>
      </w:r>
      <w:r>
        <w:t>:</w:t>
      </w:r>
    </w:p>
    <w:p w:rsidR="00CE3C70" w:rsidRDefault="00CE3C70" w:rsidP="00CE3C70">
      <w:pPr>
        <w:ind w:left="720"/>
        <w:jc w:val="both"/>
      </w:pPr>
    </w:p>
    <w:p w:rsidR="00CE3C70" w:rsidRDefault="00CE3C70" w:rsidP="00CE3C70">
      <w:pPr>
        <w:ind w:left="720"/>
        <w:jc w:val="both"/>
      </w:pPr>
      <w:r>
        <w:tab/>
        <w:t>Receiving – demonstrates willingness to participate in activity</w:t>
      </w:r>
    </w:p>
    <w:p w:rsidR="00CE3C70" w:rsidRDefault="00CE3C70" w:rsidP="00CE3C70">
      <w:pPr>
        <w:ind w:left="720"/>
        <w:jc w:val="both"/>
      </w:pPr>
      <w:r>
        <w:tab/>
        <w:t>Responding – shows interest in an activity, etc., by seeking it out</w:t>
      </w:r>
    </w:p>
    <w:p w:rsidR="00CE3C70" w:rsidRDefault="00CE3C70" w:rsidP="00CE3C70">
      <w:pPr>
        <w:ind w:left="720"/>
        <w:jc w:val="both"/>
      </w:pPr>
      <w:r>
        <w:tab/>
        <w:t>Valuing – internalizes an appreciation for activity, objectives, etc.</w:t>
      </w:r>
    </w:p>
    <w:p w:rsidR="00CE3C70" w:rsidRDefault="00CE3C70" w:rsidP="00CE3C70">
      <w:pPr>
        <w:jc w:val="both"/>
      </w:pPr>
    </w:p>
    <w:p w:rsidR="00CE3C70" w:rsidRDefault="00CE3C70" w:rsidP="00CE3C70">
      <w:pPr>
        <w:jc w:val="both"/>
      </w:pPr>
    </w:p>
    <w:p w:rsidR="00CE3C70" w:rsidRDefault="00CE3C70" w:rsidP="00CE3C70">
      <w:pPr>
        <w:ind w:left="720"/>
        <w:jc w:val="both"/>
      </w:pPr>
      <w:r>
        <w:rPr>
          <w:b/>
        </w:rPr>
        <w:t xml:space="preserve">Behavioral: </w:t>
      </w:r>
      <w:r>
        <w:t>describe</w:t>
      </w:r>
      <w:r w:rsidR="006A63E0">
        <w:t>s</w:t>
      </w:r>
      <w:r>
        <w:t xml:space="preserve"> what a student can do.</w:t>
      </w:r>
    </w:p>
    <w:p w:rsidR="00CE3C70" w:rsidRDefault="00CE3C70" w:rsidP="00CE3C70">
      <w:pPr>
        <w:ind w:left="720"/>
        <w:jc w:val="both"/>
      </w:pPr>
    </w:p>
    <w:p w:rsidR="00CE3C70" w:rsidRDefault="00CE3C70" w:rsidP="00CE3C70">
      <w:pPr>
        <w:ind w:left="720" w:firstLine="360"/>
        <w:jc w:val="both"/>
      </w:pPr>
      <w:r>
        <w:t>Some examples:</w:t>
      </w:r>
    </w:p>
    <w:p w:rsidR="00CE3C70" w:rsidRDefault="00CE3C70" w:rsidP="00CE3C70">
      <w:pPr>
        <w:ind w:left="720" w:firstLine="360"/>
        <w:jc w:val="both"/>
      </w:pPr>
    </w:p>
    <w:p w:rsidR="00CE3C70" w:rsidRDefault="00CE3C70" w:rsidP="00CE3C70">
      <w:pPr>
        <w:ind w:left="720" w:firstLine="720"/>
        <w:jc w:val="both"/>
      </w:pPr>
      <w:r>
        <w:t>“</w:t>
      </w:r>
      <w:proofErr w:type="gramStart"/>
      <w:r>
        <w:t>.…</w:t>
      </w:r>
      <w:proofErr w:type="gramEnd"/>
      <w:r>
        <w:t>be able to demonstrate basic skills in [content].”</w:t>
      </w:r>
    </w:p>
    <w:p w:rsidR="00CE3C70" w:rsidRDefault="00CE3C70" w:rsidP="00CE3C70">
      <w:pPr>
        <w:ind w:left="720" w:firstLine="720"/>
        <w:jc w:val="both"/>
      </w:pPr>
      <w:r>
        <w:t>“</w:t>
      </w:r>
      <w:proofErr w:type="gramStart"/>
      <w:r>
        <w:t>.…</w:t>
      </w:r>
      <w:proofErr w:type="gramEnd"/>
      <w:r>
        <w:t>be able to demonstrate a more advanced skill in [content].”</w:t>
      </w:r>
    </w:p>
    <w:p w:rsidR="00CE3C70" w:rsidRDefault="00CE3C70" w:rsidP="00CE3C70">
      <w:pPr>
        <w:ind w:left="720" w:firstLine="720"/>
        <w:jc w:val="both"/>
      </w:pPr>
      <w:r>
        <w:t>“</w:t>
      </w:r>
      <w:proofErr w:type="gramStart"/>
      <w:r>
        <w:t>.…</w:t>
      </w:r>
      <w:proofErr w:type="gramEnd"/>
      <w:r>
        <w:t>be able to use critical thinking or problem solving skills  to [content].”</w:t>
      </w:r>
    </w:p>
    <w:p w:rsidR="00CE3C70" w:rsidRDefault="00CE3C70" w:rsidP="00CE3C70">
      <w:pPr>
        <w:ind w:left="720" w:firstLine="720"/>
        <w:jc w:val="both"/>
      </w:pPr>
      <w:r>
        <w:t>“….be able to develop a [content, e.g. computer generated project, art].”</w:t>
      </w:r>
    </w:p>
    <w:p w:rsidR="00CE3C70" w:rsidRDefault="00CE3C70" w:rsidP="00CE3C70">
      <w:pPr>
        <w:ind w:left="720" w:firstLine="720"/>
        <w:jc w:val="both"/>
      </w:pPr>
      <w:r>
        <w:t>“….be able to perform a dramatic play.”</w:t>
      </w:r>
    </w:p>
    <w:p w:rsidR="00CE3C70" w:rsidRDefault="00CE3C70" w:rsidP="00CE3C70"/>
    <w:p w:rsidR="003F71F8" w:rsidRDefault="002D6C99">
      <w:pPr>
        <w:rPr>
          <w:b/>
        </w:rPr>
      </w:pPr>
      <w:r>
        <w:rPr>
          <w:b/>
        </w:rPr>
        <w:t>GENERAL GUIDELINES</w:t>
      </w:r>
    </w:p>
    <w:p w:rsidR="002D6C99" w:rsidRDefault="002D6C99" w:rsidP="002D6C99">
      <w:pPr>
        <w:tabs>
          <w:tab w:val="left" w:pos="4500"/>
        </w:tabs>
        <w:ind w:left="1170"/>
        <w:jc w:val="both"/>
      </w:pPr>
    </w:p>
    <w:p w:rsidR="002D6C99" w:rsidRDefault="002D6C99" w:rsidP="0095524B">
      <w:pPr>
        <w:pStyle w:val="ListParagraph"/>
        <w:numPr>
          <w:ilvl w:val="0"/>
          <w:numId w:val="6"/>
        </w:numPr>
        <w:tabs>
          <w:tab w:val="left" w:pos="4500"/>
        </w:tabs>
        <w:jc w:val="both"/>
      </w:pPr>
      <w:r w:rsidRPr="0095524B">
        <w:rPr>
          <w:i/>
          <w:u w:val="single"/>
        </w:rPr>
        <w:t>Avoid using the word “understand.”</w:t>
      </w:r>
      <w:r>
        <w:t xml:space="preserve"> When you find yourself wanting to use that word, ask yourself, “</w:t>
      </w:r>
      <w:proofErr w:type="gramStart"/>
      <w:r>
        <w:t>what</w:t>
      </w:r>
      <w:proofErr w:type="gramEnd"/>
      <w:r>
        <w:t xml:space="preserve"> does understand look like?”</w:t>
      </w:r>
      <w:r w:rsidR="00F85A27">
        <w:t xml:space="preserve"> “</w:t>
      </w:r>
      <w:proofErr w:type="gramStart"/>
      <w:r w:rsidR="00F85A27">
        <w:t>what</w:t>
      </w:r>
      <w:proofErr w:type="gramEnd"/>
      <w:r w:rsidR="00F85A27">
        <w:t xml:space="preserve"> would a student who understands be able to do or produce?”</w:t>
      </w:r>
    </w:p>
    <w:p w:rsidR="002D6C99" w:rsidRDefault="002D6C99" w:rsidP="0095524B">
      <w:pPr>
        <w:pStyle w:val="ListParagraph"/>
        <w:numPr>
          <w:ilvl w:val="0"/>
          <w:numId w:val="6"/>
        </w:numPr>
        <w:tabs>
          <w:tab w:val="left" w:pos="4500"/>
        </w:tabs>
        <w:jc w:val="both"/>
      </w:pPr>
      <w:r w:rsidRPr="0095524B">
        <w:rPr>
          <w:i/>
          <w:u w:val="single"/>
        </w:rPr>
        <w:t>Avoid using one outcome for all content</w:t>
      </w:r>
      <w:r w:rsidR="00F85A27">
        <w:rPr>
          <w:i/>
          <w:u w:val="single"/>
        </w:rPr>
        <w:t xml:space="preserve"> or create sub-outcomes</w:t>
      </w:r>
      <w:r w:rsidRPr="0095524B">
        <w:rPr>
          <w:i/>
          <w:u w:val="single"/>
        </w:rPr>
        <w:t>.</w:t>
      </w:r>
      <w:r>
        <w:t xml:space="preserve"> </w:t>
      </w:r>
      <w:r w:rsidR="00F85A27">
        <w:t xml:space="preserve">Very broad outcomes are difficult to assess and only provide limited data for informing the decision making process. </w:t>
      </w:r>
      <w:r w:rsidR="00333EC6">
        <w:t>This would be an outcome that says,</w:t>
      </w:r>
      <w:r>
        <w:t xml:space="preserve"> “</w:t>
      </w:r>
      <w:r w:rsidRPr="002D6C99">
        <w:t>Students will be able to recall, integrate,</w:t>
      </w:r>
      <w:r>
        <w:t xml:space="preserve"> articulate</w:t>
      </w:r>
      <w:r w:rsidRPr="002D6C99">
        <w:t xml:space="preserve"> and apply</w:t>
      </w:r>
      <w:r>
        <w:t xml:space="preserve"> all essential</w:t>
      </w:r>
      <w:r w:rsidR="00333EC6">
        <w:t xml:space="preserve"> program</w:t>
      </w:r>
      <w:r>
        <w:t xml:space="preserve"> information</w:t>
      </w:r>
      <w:r w:rsidR="00333EC6">
        <w:t xml:space="preserve">.” </w:t>
      </w:r>
      <w:r w:rsidR="00AA015E">
        <w:t>Sub-outcomes are used to further define what knowledge the program wants students to learn.</w:t>
      </w:r>
    </w:p>
    <w:p w:rsidR="00333EC6" w:rsidRPr="002D6C99" w:rsidRDefault="00333EC6" w:rsidP="0095524B">
      <w:pPr>
        <w:pStyle w:val="ListParagraph"/>
        <w:numPr>
          <w:ilvl w:val="0"/>
          <w:numId w:val="6"/>
        </w:numPr>
        <w:tabs>
          <w:tab w:val="left" w:pos="4500"/>
        </w:tabs>
        <w:jc w:val="both"/>
      </w:pPr>
      <w:r w:rsidRPr="0095524B">
        <w:rPr>
          <w:i/>
          <w:u w:val="single"/>
        </w:rPr>
        <w:t>There is no set number of outcomes.</w:t>
      </w:r>
      <w:r>
        <w:t xml:space="preserve"> </w:t>
      </w:r>
      <w:r w:rsidR="00525C5A">
        <w:t>Be sure that each outcome is going to lead to good information</w:t>
      </w:r>
      <w:r w:rsidR="00CD502F">
        <w:t xml:space="preserve">, but each </w:t>
      </w:r>
      <w:r w:rsidR="00F85A27">
        <w:t>program</w:t>
      </w:r>
      <w:r w:rsidR="00CD502F">
        <w:t xml:space="preserve"> should determine how many outcomes </w:t>
      </w:r>
      <w:r w:rsidR="00F85A27">
        <w:t>are needed to ensure students leave with the skills, knowledge and ethics expected in the profession</w:t>
      </w:r>
      <w:r w:rsidR="00CD502F">
        <w:t>.</w:t>
      </w:r>
    </w:p>
    <w:p w:rsidR="002D6C99" w:rsidRDefault="002D6C99"/>
    <w:p w:rsidR="002D6C99" w:rsidRPr="002D6C99" w:rsidRDefault="002D6C99"/>
    <w:sectPr w:rsidR="002D6C99" w:rsidRPr="002D6C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F" w:rsidRDefault="00F751BF">
      <w:r>
        <w:separator/>
      </w:r>
    </w:p>
  </w:endnote>
  <w:endnote w:type="continuationSeparator" w:id="0">
    <w:p w:rsidR="00F751BF" w:rsidRDefault="00F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D0" w:rsidRPr="00CC2CE6" w:rsidRDefault="00107AFE">
    <w:pPr>
      <w:pStyle w:val="Footer"/>
      <w:rPr>
        <w:sz w:val="22"/>
        <w:szCs w:val="22"/>
      </w:rPr>
    </w:pPr>
    <w:r w:rsidRPr="00CC2CE6">
      <w:rPr>
        <w:sz w:val="22"/>
        <w:szCs w:val="22"/>
      </w:rPr>
      <w:t>Created by</w:t>
    </w:r>
    <w:r w:rsidR="00CC2CE6" w:rsidRPr="00CC2CE6">
      <w:rPr>
        <w:sz w:val="22"/>
        <w:szCs w:val="22"/>
      </w:rPr>
      <w:t xml:space="preserve"> Oregon State University</w:t>
    </w:r>
    <w:r w:rsidRPr="00CC2CE6">
      <w:rPr>
        <w:sz w:val="22"/>
        <w:szCs w:val="22"/>
      </w:rPr>
      <w:t xml:space="preserve"> Office of Academic Programs, Assessment and Accreditation</w:t>
    </w:r>
  </w:p>
  <w:p w:rsidR="00CC2CE6" w:rsidRPr="00CC2CE6" w:rsidRDefault="00CC2CE6">
    <w:pPr>
      <w:pStyle w:val="Footer"/>
      <w:rPr>
        <w:sz w:val="22"/>
        <w:szCs w:val="22"/>
      </w:rPr>
    </w:pPr>
    <w:r w:rsidRPr="00CC2CE6">
      <w:rPr>
        <w:sz w:val="22"/>
        <w:szCs w:val="22"/>
      </w:rPr>
      <w:t>Adapted from the Chicago State University Outcomes Assessment Handbook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F" w:rsidRDefault="00F751BF">
      <w:r>
        <w:separator/>
      </w:r>
    </w:p>
  </w:footnote>
  <w:footnote w:type="continuationSeparator" w:id="0">
    <w:p w:rsidR="00F751BF" w:rsidRDefault="00F7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63" w:rsidRDefault="00705B76" w:rsidP="00093E63">
    <w:pPr>
      <w:ind w:left="720"/>
      <w:jc w:val="center"/>
    </w:pPr>
    <w:r>
      <w:rPr>
        <w:b/>
        <w:bCs/>
        <w:i/>
        <w:iCs/>
        <w:sz w:val="48"/>
      </w:rPr>
      <w:t>Writing Learning Outcomes</w:t>
    </w:r>
  </w:p>
  <w:p w:rsidR="00093E63" w:rsidRDefault="00F75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A0E"/>
    <w:multiLevelType w:val="hybridMultilevel"/>
    <w:tmpl w:val="D41CD4D2"/>
    <w:lvl w:ilvl="0" w:tplc="CE98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06AFD"/>
    <w:multiLevelType w:val="hybridMultilevel"/>
    <w:tmpl w:val="1B1C7794"/>
    <w:lvl w:ilvl="0" w:tplc="1780E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F75519"/>
    <w:multiLevelType w:val="hybridMultilevel"/>
    <w:tmpl w:val="F45AA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F3947"/>
    <w:multiLevelType w:val="hybridMultilevel"/>
    <w:tmpl w:val="0BEA7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0A5F6C"/>
    <w:multiLevelType w:val="hybridMultilevel"/>
    <w:tmpl w:val="1BA4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70"/>
    <w:rsid w:val="00021EE1"/>
    <w:rsid w:val="00107AFE"/>
    <w:rsid w:val="002B0846"/>
    <w:rsid w:val="002D6C99"/>
    <w:rsid w:val="002E7512"/>
    <w:rsid w:val="002F3B1C"/>
    <w:rsid w:val="0032043A"/>
    <w:rsid w:val="00333EC6"/>
    <w:rsid w:val="003F71F8"/>
    <w:rsid w:val="00525C5A"/>
    <w:rsid w:val="006A63E0"/>
    <w:rsid w:val="00705B76"/>
    <w:rsid w:val="008A14C3"/>
    <w:rsid w:val="008C1D7E"/>
    <w:rsid w:val="0095524B"/>
    <w:rsid w:val="009F1164"/>
    <w:rsid w:val="00A74B6F"/>
    <w:rsid w:val="00AA015E"/>
    <w:rsid w:val="00CC2CE6"/>
    <w:rsid w:val="00CD502F"/>
    <w:rsid w:val="00CE3C70"/>
    <w:rsid w:val="00D27DDE"/>
    <w:rsid w:val="00D337E1"/>
    <w:rsid w:val="00F354A6"/>
    <w:rsid w:val="00F46042"/>
    <w:rsid w:val="00F751BF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Heath</dc:creator>
  <cp:lastModifiedBy>Chryse</cp:lastModifiedBy>
  <cp:revision>2</cp:revision>
  <dcterms:created xsi:type="dcterms:W3CDTF">2015-01-27T18:36:00Z</dcterms:created>
  <dcterms:modified xsi:type="dcterms:W3CDTF">2015-01-27T18:36:00Z</dcterms:modified>
</cp:coreProperties>
</file>